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852" w:rsidRPr="00121852" w:rsidRDefault="00121852" w:rsidP="00121852">
      <w:pPr>
        <w:jc w:val="center"/>
        <w:rPr>
          <w:rFonts w:ascii="Times New Roman" w:hAnsi="Times New Roman" w:cs="Times New Roman"/>
          <w:b/>
          <w:color w:val="002060"/>
          <w:sz w:val="28"/>
        </w:rPr>
      </w:pPr>
      <w:r w:rsidRPr="00121852">
        <w:rPr>
          <w:rFonts w:ascii="Times New Roman" w:hAnsi="Times New Roman" w:cs="Times New Roman"/>
          <w:b/>
          <w:color w:val="002060"/>
          <w:sz w:val="28"/>
        </w:rPr>
        <w:t>Уровни читательской грамотности</w:t>
      </w:r>
      <w:bookmarkStart w:id="0" w:name="_GoBack"/>
      <w:bookmarkEnd w:id="0"/>
    </w:p>
    <w:tbl>
      <w:tblPr>
        <w:tblStyle w:val="-1"/>
        <w:tblW w:w="5028" w:type="pct"/>
        <w:tblLook w:val="0420" w:firstRow="1" w:lastRow="0" w:firstColumn="0" w:lastColumn="0" w:noHBand="0" w:noVBand="1"/>
      </w:tblPr>
      <w:tblGrid>
        <w:gridCol w:w="643"/>
        <w:gridCol w:w="7884"/>
        <w:gridCol w:w="1098"/>
      </w:tblGrid>
      <w:tr w:rsidR="00121852" w:rsidRPr="00C970AD" w:rsidTr="00076E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4"/>
        </w:trPr>
        <w:tc>
          <w:tcPr>
            <w:tcW w:w="329" w:type="pct"/>
            <w:vMerge w:val="restart"/>
            <w:shd w:val="clear" w:color="auto" w:fill="DBE5F1" w:themeFill="accent1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  <w:r w:rsidRPr="00C970AD">
              <w:rPr>
                <w:sz w:val="24"/>
              </w:rPr>
              <w:t>625</w:t>
            </w:r>
          </w:p>
        </w:tc>
        <w:tc>
          <w:tcPr>
            <w:tcW w:w="4135" w:type="pct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  <w:r w:rsidRPr="00C970AD">
              <w:rPr>
                <w:sz w:val="24"/>
              </w:rPr>
              <w:t xml:space="preserve">ВЫСШИЙ УРОВЕНЬ ПОНИМАНИЯ ТЕКСТА (70 и более процентов от максимального балла): </w:t>
            </w:r>
          </w:p>
        </w:tc>
        <w:tc>
          <w:tcPr>
            <w:tcW w:w="536" w:type="pct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  <w:r w:rsidRPr="00C970AD">
              <w:rPr>
                <w:sz w:val="24"/>
              </w:rPr>
              <w:t>Умения</w:t>
            </w:r>
          </w:p>
        </w:tc>
      </w:tr>
      <w:tr w:rsidR="00121852" w:rsidRPr="00C970AD" w:rsidTr="00076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3"/>
        </w:trPr>
        <w:tc>
          <w:tcPr>
            <w:tcW w:w="329" w:type="pct"/>
            <w:vMerge/>
            <w:shd w:val="clear" w:color="auto" w:fill="DBE5F1" w:themeFill="accent1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4135" w:type="pct"/>
            <w:shd w:val="clear" w:color="auto" w:fill="DBE5F1" w:themeFill="accent1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  <w:r w:rsidRPr="00C970AD">
              <w:rPr>
                <w:sz w:val="24"/>
              </w:rPr>
              <w:t>Читатели высшего уровня воспринимают текст целостно и в то же время понимают отдельные единицы текста в их взаимосвязи; опираются на те</w:t>
            </w:r>
            <w:proofErr w:type="gramStart"/>
            <w:r w:rsidRPr="00C970AD">
              <w:rPr>
                <w:sz w:val="24"/>
              </w:rPr>
              <w:t>кст дл</w:t>
            </w:r>
            <w:proofErr w:type="gramEnd"/>
            <w:r w:rsidRPr="00C970AD">
              <w:rPr>
                <w:sz w:val="24"/>
              </w:rPr>
              <w:t xml:space="preserve">я обоснования собственных интерпретаций авторской позиции. </w:t>
            </w:r>
          </w:p>
        </w:tc>
        <w:tc>
          <w:tcPr>
            <w:tcW w:w="536" w:type="pct"/>
            <w:shd w:val="clear" w:color="auto" w:fill="DBE5F1" w:themeFill="accent1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</w:tr>
      <w:tr w:rsidR="00121852" w:rsidRPr="00C970AD" w:rsidTr="00076E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96"/>
        </w:trPr>
        <w:tc>
          <w:tcPr>
            <w:tcW w:w="329" w:type="pct"/>
            <w:vMerge/>
            <w:shd w:val="clear" w:color="auto" w:fill="DBE5F1" w:themeFill="accent1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4135" w:type="pct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  <w:u w:val="single"/>
              </w:rPr>
            </w:pPr>
            <w:r w:rsidRPr="00C970AD">
              <w:rPr>
                <w:sz w:val="24"/>
                <w:u w:val="single"/>
              </w:rPr>
              <w:t xml:space="preserve">Читая художественные тексты, учащиеся могут: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1"/>
              </w:numPr>
              <w:rPr>
                <w:sz w:val="24"/>
              </w:rPr>
            </w:pPr>
            <w:r w:rsidRPr="00C970AD">
              <w:rPr>
                <w:sz w:val="24"/>
              </w:rPr>
              <w:t>связывать детали текста для понимания общих идей автора;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1"/>
              </w:numPr>
              <w:rPr>
                <w:sz w:val="24"/>
              </w:rPr>
            </w:pPr>
            <w:r w:rsidRPr="00C970AD">
              <w:rPr>
                <w:sz w:val="24"/>
              </w:rPr>
              <w:t>интерпретировать события и действия героев для понимания их чувств, мотивов, целей и особенностей характера;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1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обосновывать свои интерпретации, опираясь на содержательные и формальные элементы всего текста. </w:t>
            </w:r>
          </w:p>
        </w:tc>
        <w:tc>
          <w:tcPr>
            <w:tcW w:w="536" w:type="pct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</w:tr>
      <w:tr w:rsidR="00121852" w:rsidRPr="00C970AD" w:rsidTr="00076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4"/>
        </w:trPr>
        <w:tc>
          <w:tcPr>
            <w:tcW w:w="329" w:type="pct"/>
            <w:vMerge/>
            <w:shd w:val="clear" w:color="auto" w:fill="DBE5F1" w:themeFill="accent1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4135" w:type="pct"/>
            <w:shd w:val="clear" w:color="auto" w:fill="auto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  <w:u w:val="single"/>
              </w:rPr>
            </w:pPr>
            <w:r w:rsidRPr="00C970AD">
              <w:rPr>
                <w:sz w:val="24"/>
                <w:u w:val="single"/>
              </w:rPr>
              <w:t xml:space="preserve">Читая информационные тексты, учащиеся могут: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1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распознавать и интерпретировать сложную информацию из разных частей текста и обосновывать свои интерпретации, основываясь на сообщениях всего текста; 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1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связывать единицы информации из всего текста для того, чтобы объяснить значение сообщения текста и выстроить последовательность описанных в тексте сообщений;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2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оценить и объяснить значение визуальных и вербальных элементов для понимания сообщений текста. </w:t>
            </w:r>
          </w:p>
        </w:tc>
        <w:tc>
          <w:tcPr>
            <w:tcW w:w="536" w:type="pct"/>
            <w:shd w:val="clear" w:color="auto" w:fill="auto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</w:tr>
      <w:tr w:rsidR="00121852" w:rsidRPr="00C970AD" w:rsidTr="00076E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7"/>
        </w:trPr>
        <w:tc>
          <w:tcPr>
            <w:tcW w:w="329" w:type="pct"/>
            <w:vMerge w:val="restart"/>
            <w:shd w:val="clear" w:color="auto" w:fill="EAF1DD" w:themeFill="accent3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  <w:r w:rsidRPr="00C970AD">
              <w:rPr>
                <w:b/>
                <w:bCs/>
                <w:sz w:val="24"/>
              </w:rPr>
              <w:t>550</w:t>
            </w:r>
          </w:p>
        </w:tc>
        <w:tc>
          <w:tcPr>
            <w:tcW w:w="4135" w:type="pct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  <w:r w:rsidRPr="00C970AD">
              <w:rPr>
                <w:b/>
                <w:bCs/>
                <w:sz w:val="24"/>
              </w:rPr>
              <w:t xml:space="preserve">ВЫСОКИЙ УРОВЕНЬ ПОНИМАНИЯ ТЕКСТА (от 60 до 70 процентов от максимального балла): </w:t>
            </w:r>
          </w:p>
        </w:tc>
        <w:tc>
          <w:tcPr>
            <w:tcW w:w="536" w:type="pct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  <w:r w:rsidRPr="00C970AD">
              <w:rPr>
                <w:b/>
                <w:bCs/>
                <w:sz w:val="24"/>
              </w:rPr>
              <w:t>Умения</w:t>
            </w:r>
          </w:p>
        </w:tc>
      </w:tr>
      <w:tr w:rsidR="00121852" w:rsidRPr="00C970AD" w:rsidTr="00076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51"/>
        </w:trPr>
        <w:tc>
          <w:tcPr>
            <w:tcW w:w="329" w:type="pct"/>
            <w:vMerge/>
            <w:shd w:val="clear" w:color="auto" w:fill="EAF1DD" w:themeFill="accent3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4135" w:type="pct"/>
            <w:shd w:val="clear" w:color="auto" w:fill="EAF1DD" w:themeFill="accent3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  <w:r w:rsidRPr="00C970AD">
              <w:rPr>
                <w:sz w:val="24"/>
              </w:rPr>
              <w:t xml:space="preserve">Читатели высокого уровня понимают существенные сообщения текста, могут делать собственные умозаключения, основываясь на тексте, оценивают как содержание, так и форму текста, обращают внимание на некоторые языковые особенности текста. </w:t>
            </w:r>
          </w:p>
        </w:tc>
        <w:tc>
          <w:tcPr>
            <w:tcW w:w="536" w:type="pct"/>
            <w:shd w:val="clear" w:color="auto" w:fill="EAF1DD" w:themeFill="accent3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</w:tr>
      <w:tr w:rsidR="00121852" w:rsidRPr="00C970AD" w:rsidTr="00076E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13"/>
        </w:trPr>
        <w:tc>
          <w:tcPr>
            <w:tcW w:w="329" w:type="pct"/>
            <w:vMerge/>
            <w:shd w:val="clear" w:color="auto" w:fill="EAF1DD" w:themeFill="accent3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4135" w:type="pct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  <w:u w:val="single"/>
              </w:rPr>
            </w:pPr>
            <w:r w:rsidRPr="00C970AD">
              <w:rPr>
                <w:sz w:val="24"/>
                <w:u w:val="single"/>
              </w:rPr>
              <w:t xml:space="preserve">Читая художественные тексты, учащиеся могут: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2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найти и опознать значимые детали, скрытые в разных частях текста;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2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строить умозаключения для объяснения связи между событиями текста, между чувствами, намерениями и действиями героев и обосновывать свои выводы с помощью текста; 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2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связывать и интерпретировать события истории, действия и черты характера героев, описанные в разных частях текста; 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2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оценивать значение событий истории и действий героев для понимания сообщения текста; 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2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понимать значение некоторых языковых характеристик (метафора, интонация, образ). </w:t>
            </w:r>
          </w:p>
        </w:tc>
        <w:tc>
          <w:tcPr>
            <w:tcW w:w="536" w:type="pct"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</w:tr>
      <w:tr w:rsidR="00121852" w:rsidRPr="00C970AD" w:rsidTr="00076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3"/>
        </w:trPr>
        <w:tc>
          <w:tcPr>
            <w:tcW w:w="329" w:type="pct"/>
            <w:vMerge/>
            <w:shd w:val="clear" w:color="auto" w:fill="EAF1DD" w:themeFill="accent3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4135" w:type="pct"/>
            <w:shd w:val="clear" w:color="auto" w:fill="auto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  <w:u w:val="single"/>
              </w:rPr>
            </w:pPr>
            <w:r w:rsidRPr="00C970AD">
              <w:rPr>
                <w:sz w:val="24"/>
                <w:u w:val="single"/>
              </w:rPr>
              <w:t xml:space="preserve">Читая информационные тексты, учащиеся могут: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2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найти и опознать нужную информацию внутри сплошного текста или в сложной таблице; 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2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строить умозаключения о логических связях отдельных сообщений текста для обоснования своего мнения; 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2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связывать вербальную и визуальную информацию для обоснования связей между идеями текста; 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3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оценивать содержание и форму текста при обобщении его основных идей. </w:t>
            </w:r>
          </w:p>
        </w:tc>
        <w:tc>
          <w:tcPr>
            <w:tcW w:w="536" w:type="pct"/>
            <w:shd w:val="clear" w:color="auto" w:fill="auto"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</w:tr>
      <w:tr w:rsidR="00121852" w:rsidRPr="00C970AD" w:rsidTr="00076E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94"/>
        </w:trPr>
        <w:tc>
          <w:tcPr>
            <w:tcW w:w="329" w:type="pct"/>
            <w:vMerge w:val="restart"/>
            <w:shd w:val="clear" w:color="auto" w:fill="F2DBDB" w:themeFill="accent2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  <w:r w:rsidRPr="00C970AD">
              <w:rPr>
                <w:b/>
                <w:bCs/>
                <w:sz w:val="24"/>
              </w:rPr>
              <w:t xml:space="preserve">475 </w:t>
            </w:r>
          </w:p>
        </w:tc>
        <w:tc>
          <w:tcPr>
            <w:tcW w:w="4135" w:type="pct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  <w:r w:rsidRPr="00C970AD">
              <w:rPr>
                <w:b/>
                <w:bCs/>
                <w:sz w:val="24"/>
              </w:rPr>
              <w:t xml:space="preserve">СРЕДНИЙ УРОВЕНЬ ПОНИМАНИЯ ТЕКСТА (от 50 до 60 процентов от максимального балла): </w:t>
            </w:r>
          </w:p>
        </w:tc>
        <w:tc>
          <w:tcPr>
            <w:tcW w:w="536" w:type="pct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  <w:r w:rsidRPr="00C970AD">
              <w:rPr>
                <w:b/>
                <w:bCs/>
                <w:sz w:val="24"/>
              </w:rPr>
              <w:t>Умения</w:t>
            </w:r>
          </w:p>
        </w:tc>
      </w:tr>
      <w:tr w:rsidR="00121852" w:rsidRPr="00C970AD" w:rsidTr="00076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4"/>
        </w:trPr>
        <w:tc>
          <w:tcPr>
            <w:tcW w:w="329" w:type="pct"/>
            <w:vMerge/>
            <w:shd w:val="clear" w:color="auto" w:fill="F2DBDB" w:themeFill="accent2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4135" w:type="pct"/>
            <w:shd w:val="clear" w:color="auto" w:fill="F2DBDB" w:themeFill="accent2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  <w:r w:rsidRPr="00C970AD">
              <w:rPr>
                <w:sz w:val="24"/>
              </w:rPr>
              <w:t xml:space="preserve">Читатели среднего уровня могут находить в тексте информацию, делать на ее основе умозаключения, используя при этом некоторые особенности формы и языка текста. </w:t>
            </w:r>
          </w:p>
        </w:tc>
        <w:tc>
          <w:tcPr>
            <w:tcW w:w="536" w:type="pct"/>
            <w:shd w:val="clear" w:color="auto" w:fill="F2DBDB" w:themeFill="accent2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</w:tr>
      <w:tr w:rsidR="00121852" w:rsidRPr="00C970AD" w:rsidTr="00076E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94"/>
        </w:trPr>
        <w:tc>
          <w:tcPr>
            <w:tcW w:w="329" w:type="pct"/>
            <w:vMerge/>
            <w:shd w:val="clear" w:color="auto" w:fill="F2DBDB" w:themeFill="accent2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4135" w:type="pct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  <w:u w:val="single"/>
              </w:rPr>
            </w:pPr>
            <w:r w:rsidRPr="00C970AD">
              <w:rPr>
                <w:sz w:val="24"/>
                <w:u w:val="single"/>
              </w:rPr>
              <w:t xml:space="preserve">Читая художественные тексты, учащиеся могут: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3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вычитывать события, действия и чувства героев, описанные в явном виде;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3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строить умозаключения о свойствах, чувствах и мотивации основных героев;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3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интерпретировать очевидные основания действий героев и давать простые объяснения; 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3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оценивать отдельные языковые и стилистические особенности текста. </w:t>
            </w:r>
          </w:p>
        </w:tc>
        <w:tc>
          <w:tcPr>
            <w:tcW w:w="536" w:type="pct"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</w:tr>
      <w:tr w:rsidR="00121852" w:rsidRPr="00C970AD" w:rsidTr="00076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4"/>
        </w:trPr>
        <w:tc>
          <w:tcPr>
            <w:tcW w:w="329" w:type="pct"/>
            <w:vMerge/>
            <w:shd w:val="clear" w:color="auto" w:fill="F2DBDB" w:themeFill="accent2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4135" w:type="pct"/>
            <w:shd w:val="clear" w:color="auto" w:fill="auto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  <w:u w:val="single"/>
              </w:rPr>
            </w:pPr>
            <w:r w:rsidRPr="00C970AD">
              <w:rPr>
                <w:sz w:val="24"/>
                <w:u w:val="single"/>
              </w:rPr>
              <w:t xml:space="preserve">Читая информационные тексты, учащиеся могут: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3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найти и извлечь из текста две – три единицы информации; 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4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использовать подзаголовки, иллюстрации и информацию в отдельных рамочках для того, чтобы найти часть текста, содержащую нужную информацию. </w:t>
            </w:r>
          </w:p>
        </w:tc>
        <w:tc>
          <w:tcPr>
            <w:tcW w:w="536" w:type="pct"/>
            <w:shd w:val="clear" w:color="auto" w:fill="auto"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</w:tr>
      <w:tr w:rsidR="00121852" w:rsidRPr="00C970AD" w:rsidTr="00076E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94"/>
        </w:trPr>
        <w:tc>
          <w:tcPr>
            <w:tcW w:w="329" w:type="pct"/>
            <w:vMerge w:val="restart"/>
            <w:shd w:val="clear" w:color="auto" w:fill="FDE9D9" w:themeFill="accent6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  <w:r w:rsidRPr="00C970AD">
              <w:rPr>
                <w:b/>
                <w:bCs/>
                <w:sz w:val="24"/>
              </w:rPr>
              <w:t xml:space="preserve">400 </w:t>
            </w:r>
          </w:p>
        </w:tc>
        <w:tc>
          <w:tcPr>
            <w:tcW w:w="4135" w:type="pct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  <w:r w:rsidRPr="00C970AD">
              <w:rPr>
                <w:b/>
                <w:bCs/>
                <w:sz w:val="24"/>
              </w:rPr>
              <w:t xml:space="preserve">НИЗКИЙ УРОВЕНЬ ПОНИМАНИЯ ТЕКСТА (от 40 до 50 процентов от максимального балла): </w:t>
            </w:r>
          </w:p>
        </w:tc>
        <w:tc>
          <w:tcPr>
            <w:tcW w:w="536" w:type="pct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  <w:r w:rsidRPr="00C970AD">
              <w:rPr>
                <w:b/>
                <w:bCs/>
                <w:sz w:val="24"/>
              </w:rPr>
              <w:t>Умения</w:t>
            </w:r>
          </w:p>
        </w:tc>
      </w:tr>
      <w:tr w:rsidR="00121852" w:rsidRPr="00C970AD" w:rsidTr="00076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4"/>
        </w:trPr>
        <w:tc>
          <w:tcPr>
            <w:tcW w:w="329" w:type="pct"/>
            <w:vMerge/>
            <w:shd w:val="clear" w:color="auto" w:fill="FDE9D9" w:themeFill="accent6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4135" w:type="pct"/>
            <w:shd w:val="clear" w:color="auto" w:fill="FDE9D9" w:themeFill="accent6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  <w:r w:rsidRPr="00C970AD">
              <w:rPr>
                <w:sz w:val="24"/>
              </w:rPr>
              <w:t xml:space="preserve">Читатели низкого уровня могут вычитать из текста такую информацию, которая сообщается в явном виде и которую легко локализовать. </w:t>
            </w:r>
          </w:p>
        </w:tc>
        <w:tc>
          <w:tcPr>
            <w:tcW w:w="536" w:type="pct"/>
            <w:shd w:val="clear" w:color="auto" w:fill="FDE9D9" w:themeFill="accent6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</w:tr>
      <w:tr w:rsidR="00121852" w:rsidRPr="00C970AD" w:rsidTr="00076E1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94"/>
        </w:trPr>
        <w:tc>
          <w:tcPr>
            <w:tcW w:w="329" w:type="pct"/>
            <w:vMerge/>
            <w:shd w:val="clear" w:color="auto" w:fill="FDE9D9" w:themeFill="accent6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4135" w:type="pct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  <w:u w:val="single"/>
              </w:rPr>
            </w:pPr>
            <w:r w:rsidRPr="00C970AD">
              <w:rPr>
                <w:sz w:val="24"/>
                <w:u w:val="single"/>
              </w:rPr>
              <w:t xml:space="preserve">Читая художественные тексты, учащиеся могут: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4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 найти и извлечь из текста ясно описанную деталь; </w:t>
            </w:r>
          </w:p>
        </w:tc>
        <w:tc>
          <w:tcPr>
            <w:tcW w:w="536" w:type="pct"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</w:tr>
      <w:tr w:rsidR="00121852" w:rsidRPr="00C970AD" w:rsidTr="00076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4"/>
        </w:trPr>
        <w:tc>
          <w:tcPr>
            <w:tcW w:w="329" w:type="pct"/>
            <w:vMerge/>
            <w:shd w:val="clear" w:color="auto" w:fill="FDE9D9" w:themeFill="accent6" w:themeFillTint="33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  <w:tc>
          <w:tcPr>
            <w:tcW w:w="4135" w:type="pct"/>
            <w:shd w:val="clear" w:color="auto" w:fill="auto"/>
            <w:hideMark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  <w:u w:val="single"/>
              </w:rPr>
            </w:pPr>
            <w:r w:rsidRPr="00C970AD">
              <w:rPr>
                <w:sz w:val="24"/>
                <w:u w:val="single"/>
              </w:rPr>
              <w:t xml:space="preserve">Читая информационные тексты, учащиеся могут:  </w:t>
            </w:r>
          </w:p>
          <w:p w:rsidR="00121852" w:rsidRPr="00C970AD" w:rsidRDefault="00121852" w:rsidP="00121852">
            <w:pPr>
              <w:pStyle w:val="a3"/>
              <w:numPr>
                <w:ilvl w:val="0"/>
                <w:numId w:val="4"/>
              </w:numPr>
              <w:rPr>
                <w:sz w:val="24"/>
              </w:rPr>
            </w:pPr>
            <w:r w:rsidRPr="00C970AD">
              <w:rPr>
                <w:sz w:val="24"/>
              </w:rPr>
              <w:t xml:space="preserve">найти и извлечь информацию, которая в явном виде сообщается в начале текста. </w:t>
            </w:r>
          </w:p>
        </w:tc>
        <w:tc>
          <w:tcPr>
            <w:tcW w:w="536" w:type="pct"/>
            <w:shd w:val="clear" w:color="auto" w:fill="auto"/>
          </w:tcPr>
          <w:p w:rsidR="00121852" w:rsidRPr="00C970AD" w:rsidRDefault="00121852" w:rsidP="00076E16">
            <w:pPr>
              <w:spacing w:after="200" w:line="276" w:lineRule="auto"/>
              <w:rPr>
                <w:sz w:val="24"/>
              </w:rPr>
            </w:pPr>
          </w:p>
        </w:tc>
      </w:tr>
    </w:tbl>
    <w:p w:rsidR="001E504B" w:rsidRDefault="00121852" w:rsidP="00121852">
      <w:pPr>
        <w:jc w:val="center"/>
      </w:pPr>
    </w:p>
    <w:sectPr w:rsidR="001E5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70DC4"/>
    <w:multiLevelType w:val="hybridMultilevel"/>
    <w:tmpl w:val="ED160B60"/>
    <w:lvl w:ilvl="0" w:tplc="78DCF2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3B7C0E"/>
    <w:multiLevelType w:val="hybridMultilevel"/>
    <w:tmpl w:val="2BD61068"/>
    <w:lvl w:ilvl="0" w:tplc="78DCF2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D12AB"/>
    <w:multiLevelType w:val="hybridMultilevel"/>
    <w:tmpl w:val="7EA85C5A"/>
    <w:lvl w:ilvl="0" w:tplc="78DCF2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3407AF"/>
    <w:multiLevelType w:val="hybridMultilevel"/>
    <w:tmpl w:val="4F4C7484"/>
    <w:lvl w:ilvl="0" w:tplc="78DCF20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852"/>
    <w:rsid w:val="00121852"/>
    <w:rsid w:val="00380FDB"/>
    <w:rsid w:val="00FE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Grid Accent 1"/>
    <w:basedOn w:val="a1"/>
    <w:uiPriority w:val="62"/>
    <w:rsid w:val="0012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3">
    <w:name w:val="List Paragraph"/>
    <w:basedOn w:val="a"/>
    <w:uiPriority w:val="34"/>
    <w:qFormat/>
    <w:rsid w:val="001218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Grid Accent 1"/>
    <w:basedOn w:val="a1"/>
    <w:uiPriority w:val="62"/>
    <w:rsid w:val="001218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a3">
    <w:name w:val="List Paragraph"/>
    <w:basedOn w:val="a"/>
    <w:uiPriority w:val="34"/>
    <w:qFormat/>
    <w:rsid w:val="00121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Ожмекова Наталья Юрьевна</dc:creator>
  <cp:lastModifiedBy>Ожмекова Наталья Юрьевна</cp:lastModifiedBy>
  <cp:revision>1</cp:revision>
  <dcterms:created xsi:type="dcterms:W3CDTF">2022-08-14T14:43:00Z</dcterms:created>
  <dcterms:modified xsi:type="dcterms:W3CDTF">2022-08-14T14:44:00Z</dcterms:modified>
</cp:coreProperties>
</file>